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:rsidR="002C6DEF" w:rsidRDefault="002C6DEF" w:rsidP="008C4D92">
      <w:pPr>
        <w:pStyle w:val="NormalWeb"/>
        <w:spacing w:after="0"/>
        <w:jc w:val="center"/>
      </w:pPr>
    </w:p>
    <w:p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337820</wp:posOffset>
                </wp:positionV>
                <wp:extent cx="5219700" cy="1242000"/>
                <wp:effectExtent l="0" t="0" r="12700" b="158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4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81CCF" w:rsidRPr="00D96B92" w:rsidRDefault="005A7C7C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RAC</w:t>
                            </w:r>
                            <w:r w:rsidR="00786ECA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6pt;margin-top:26.6pt;width:411pt;height:9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" fillcolor="white [3201]" strokecolor="white [3212]" strokeweight=".5pt">
                <v:textbox>
                  <w:txbxContent>
                    <w:p w:rsidR="00781CCF" w:rsidRPr="00D96B92" w:rsidRDefault="005A7C7C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RAC</w:t>
                      </w:r>
                      <w:r w:rsidR="00786ECA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2C6DEF" w:rsidRDefault="002C6DEF" w:rsidP="008C4D92">
      <w:pPr>
        <w:pStyle w:val="NormalWeb"/>
        <w:spacing w:after="0"/>
        <w:jc w:val="center"/>
      </w:pPr>
    </w:p>
    <w:p w:rsidR="00C74935" w:rsidRDefault="00C74935" w:rsidP="008C4D92">
      <w:pPr>
        <w:pStyle w:val="NormalWeb"/>
        <w:spacing w:after="0"/>
        <w:jc w:val="center"/>
      </w:pPr>
    </w:p>
    <w:p w:rsidR="008C4D92" w:rsidRDefault="008C4D92" w:rsidP="008C4D92">
      <w:pPr>
        <w:pStyle w:val="Default"/>
      </w:pPr>
    </w:p>
    <w:p w:rsidR="00B851AF" w:rsidRDefault="00B851AF" w:rsidP="008C4D92">
      <w:pPr>
        <w:pStyle w:val="Default"/>
      </w:pPr>
    </w:p>
    <w:p w:rsidR="00B851AF" w:rsidRDefault="00B851AF" w:rsidP="008C4D92">
      <w:pPr>
        <w:pStyle w:val="Default"/>
      </w:pPr>
    </w:p>
    <w:p w:rsid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</w:p>
    <w:p w:rsidR="005A7C7C" w:rsidRDefault="00786ECA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r>
        <w:rPr>
          <w:rFonts w:ascii="FuturaA Bk BT;Century Gothic" w:hAnsi="FuturaA Bk BT;Century Gothic"/>
          <w:sz w:val="32"/>
          <w:szCs w:val="32"/>
        </w:rPr>
        <w:t>8</w:t>
      </w:r>
      <w:r w:rsidR="005A7C7C" w:rsidRPr="005A7C7C">
        <w:rPr>
          <w:rFonts w:ascii="FuturaA Bk BT;Century Gothic" w:hAnsi="FuturaA Bk BT;Century Gothic"/>
          <w:sz w:val="32"/>
          <w:szCs w:val="32"/>
        </w:rPr>
        <w:t xml:space="preserve">-fach </w:t>
      </w:r>
      <w:proofErr w:type="spellStart"/>
      <w:r w:rsidR="005A7C7C" w:rsidRPr="005A7C7C">
        <w:rPr>
          <w:rFonts w:ascii="FuturaA Bk BT;Century Gothic" w:hAnsi="FuturaA Bk BT;Century Gothic"/>
          <w:sz w:val="32"/>
          <w:szCs w:val="32"/>
        </w:rPr>
        <w:t>Programmwahlschalter</w:t>
      </w:r>
      <w:proofErr w:type="spellEnd"/>
      <w:r w:rsidR="005A7C7C" w:rsidRPr="005A7C7C">
        <w:rPr>
          <w:rFonts w:ascii="FuturaA Bk BT;Century Gothic" w:hAnsi="FuturaA Bk BT;Century Gothic"/>
          <w:sz w:val="32"/>
          <w:szCs w:val="32"/>
        </w:rPr>
        <w:t xml:space="preserve"> und </w:t>
      </w:r>
      <w:proofErr w:type="spellStart"/>
      <w:r w:rsidR="005A7C7C" w:rsidRPr="005A7C7C">
        <w:rPr>
          <w:rFonts w:ascii="FuturaA Bk BT;Century Gothic" w:hAnsi="FuturaA Bk BT;Century Gothic"/>
          <w:sz w:val="32"/>
          <w:szCs w:val="32"/>
        </w:rPr>
        <w:t>Lautstärkeregler</w:t>
      </w:r>
      <w:proofErr w:type="spellEnd"/>
      <w:r w:rsidR="005A7C7C" w:rsidRPr="005A7C7C">
        <w:rPr>
          <w:rFonts w:ascii="FuturaA Bk BT;Century Gothic" w:hAnsi="FuturaA Bk BT;Century Gothic"/>
          <w:sz w:val="32"/>
          <w:szCs w:val="32"/>
        </w:rPr>
        <w:t xml:space="preserve"> UP/AP </w:t>
      </w:r>
      <w:proofErr w:type="spellStart"/>
      <w:r w:rsidR="005A7C7C" w:rsidRPr="005A7C7C">
        <w:rPr>
          <w:rFonts w:ascii="FuturaA Bk BT;Century Gothic" w:hAnsi="FuturaA Bk BT;Century Gothic"/>
          <w:sz w:val="32"/>
          <w:szCs w:val="32"/>
        </w:rPr>
        <w:t>zu</w:t>
      </w:r>
      <w:proofErr w:type="spellEnd"/>
      <w:r w:rsidR="005A7C7C" w:rsidRPr="005A7C7C">
        <w:rPr>
          <w:rFonts w:ascii="FuturaA Bk BT;Century Gothic" w:hAnsi="FuturaA Bk BT;Century Gothic"/>
          <w:sz w:val="32"/>
          <w:szCs w:val="32"/>
        </w:rPr>
        <w:t xml:space="preserve"> UAP und LAP</w:t>
      </w:r>
    </w:p>
    <w:p w:rsidR="00D96B92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:rsidR="0051148C" w:rsidRP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r w:rsidR="0051148C">
        <w:br w:type="page"/>
      </w: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:rsidR="00504AFD" w:rsidRPr="00A25DAA" w:rsidRDefault="00504AFD" w:rsidP="00110075">
          <w:pPr>
            <w:pStyle w:val="En-ttedetabledesmatires"/>
            <w:rPr>
              <w:rFonts w:ascii="Arial" w:hAnsi="Arial" w:cs="Arial"/>
              <w:bCs w:val="0"/>
            </w:rPr>
          </w:pPr>
        </w:p>
        <w:p w:rsidR="005A7C7C" w:rsidRPr="005A7C7C" w:rsidRDefault="005A7C7C" w:rsidP="008A4600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Programmwahlschalter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Lautstärkeregler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zum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Einbau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in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Unterputzdosen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oder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Aufputzgehäusen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zur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Verwendung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in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Verbindung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der digital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Audioprozessor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Serie ATEIS UAP und LAP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für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r w:rsidR="00786E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8</w:t>
          </w:r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Programme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.</w:t>
          </w:r>
        </w:p>
        <w:p w:rsidR="005A7C7C" w:rsidRPr="005A7C7C" w:rsidRDefault="005A7C7C" w:rsidP="008A4600">
          <w:pPr>
            <w:ind w:right="-1050"/>
            <w:rPr>
              <w:rFonts w:ascii="Arial" w:hAnsi="Arial" w:cs="Arial"/>
              <w:vertAlign w:val="subscript"/>
              <w:lang w:val="de-DE"/>
            </w:rPr>
            <w:sectPr w:rsidR="005A7C7C" w:rsidRPr="005A7C7C" w:rsidSect="00110075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</w:p>
        <w:p w:rsidR="00110075" w:rsidRPr="00A25DAA" w:rsidRDefault="00110075" w:rsidP="008A4600">
          <w:pPr>
            <w:ind w:right="-1050"/>
            <w:rPr>
              <w:rFonts w:ascii="Arial" w:hAnsi="Arial" w:cs="Arial"/>
            </w:rPr>
          </w:pPr>
        </w:p>
        <w:p w:rsidR="005A7C7C" w:rsidRDefault="005A7C7C" w:rsidP="008A4600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proofErr w:type="spellStart"/>
          <w:r w:rsidRPr="005A7C7C">
            <w:rPr>
              <w:rFonts w:ascii="Arial" w:hAnsi="Arial" w:cs="Arial"/>
              <w:bCs w:val="0"/>
              <w:sz w:val="24"/>
              <w:szCs w:val="24"/>
            </w:rPr>
            <w:t>Merkmale</w:t>
          </w:r>
          <w:proofErr w:type="spellEnd"/>
        </w:p>
        <w:p w:rsidR="005A7C7C" w:rsidRDefault="005A7C7C" w:rsidP="008A4600">
          <w:pPr>
            <w:ind w:right="-1050"/>
          </w:pPr>
        </w:p>
        <w:p w:rsidR="005A7C7C" w:rsidRPr="005A7C7C" w:rsidRDefault="005A7C7C" w:rsidP="008A4600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Der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Programmwahlschalter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erlaubt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Auswahl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von bis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r w:rsidR="00786E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8</w:t>
          </w:r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Programmen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ist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r w:rsidR="00786E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8</w:t>
          </w:r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-Stufiger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Schalter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-, der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Lautstärkeregler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ist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Potentiometer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für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stufenlose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Regelung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von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Lautstärke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oder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ähnlichen</w:t>
          </w:r>
          <w:proofErr w:type="spellEnd"/>
          <w:r w:rsidR="00786ECA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Parametern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ausgeführt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Die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Bedienelemente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sind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auf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einer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weißen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Kunststoffoberfläche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angebracht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die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weitgehenst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den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üblichen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UP/AP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Geräten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wie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Schalter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Steckdosen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udgl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ähnlich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ist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.</w:t>
          </w:r>
        </w:p>
        <w:p w:rsidR="005A7C7C" w:rsidRPr="005A7C7C" w:rsidRDefault="005A7C7C" w:rsidP="008A4600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Das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Gerät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wird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direkt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in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Verbindung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der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digitalen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Audioprozessor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Serie ATEIS UAP und LAP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eingesetzt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benötigt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keine</w:t>
          </w:r>
          <w:proofErr w:type="spellEnd"/>
          <w:r w:rsidRPr="005A7C7C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weiteren Zubehörteile.</w:t>
          </w:r>
        </w:p>
        <w:p w:rsidR="005A7C7C" w:rsidRDefault="005A7C7C" w:rsidP="005A7C7C">
          <w:pPr>
            <w:pStyle w:val="Titre1"/>
            <w:keepNext w:val="0"/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</w:pPr>
        </w:p>
        <w:p w:rsidR="00110075" w:rsidRPr="00A25DAA" w:rsidRDefault="00110075" w:rsidP="00110075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Grilledutableau"/>
            <w:tblW w:w="9351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4386"/>
            <w:gridCol w:w="4965"/>
          </w:tblGrid>
          <w:tr w:rsidR="00D03E65" w:rsidRPr="00E256BA" w:rsidTr="008E7785">
            <w:tc>
              <w:tcPr>
                <w:tcW w:w="4386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D03E65" w:rsidRPr="005A7C7C" w:rsidRDefault="005A7C7C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Anschluß</w:t>
                </w:r>
                <w:proofErr w:type="spellEnd"/>
                <w:r w:rsidRPr="005A7C7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D03E65" w:rsidRPr="005A7C7C" w:rsidRDefault="005A7C7C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Steckbare Schraubklemmen</w:t>
                </w:r>
              </w:p>
            </w:tc>
          </w:tr>
          <w:tr w:rsidR="000D538F" w:rsidRPr="00E256BA" w:rsidTr="008E7785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8B7BC9" w:rsidRDefault="00B95F26" w:rsidP="008B7BC9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sz w:val="16"/>
                    <w:szCs w:val="16"/>
                    <w:lang w:val="de-DE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Mecanisch</w:t>
                </w:r>
                <w:proofErr w:type="spellEnd"/>
                <w:r w:rsidR="008B7BC9" w:rsidRPr="008B7BC9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7F6062" w:rsidRPr="00E256BA" w:rsidTr="005A7C7C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5A7C7C" w:rsidRDefault="005A7C7C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</w:t>
                </w:r>
                <w:r w:rsidR="007F6062"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ehäuse</w:t>
                </w:r>
                <w:proofErr w:type="spellEnd"/>
                <w:r w:rsidR="007F6062"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5A7C7C" w:rsidRDefault="005A7C7C" w:rsidP="007F6062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Kunststoff, RAL9010 (reinweiß)</w:t>
                </w:r>
              </w:p>
            </w:tc>
          </w:tr>
          <w:tr w:rsidR="007F6062" w:rsidRPr="00E256BA" w:rsidTr="005A7C7C">
            <w:tc>
              <w:tcPr>
                <w:tcW w:w="4386" w:type="dxa"/>
                <w:vAlign w:val="center"/>
              </w:tcPr>
              <w:p w:rsidR="007F6062" w:rsidRPr="005A7C7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BxHxT</w:t>
                </w:r>
                <w:proofErr w:type="spellEnd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5A7C7C" w:rsidRDefault="005A7C7C" w:rsidP="007F6062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84</w:t>
                </w:r>
                <w:r w:rsidR="008B7BC9" w:rsidRPr="005A7C7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8</w:t>
                </w:r>
                <w:r w:rsidRPr="005A7C7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</w:t>
                </w:r>
                <w:r w:rsidR="008B7BC9" w:rsidRPr="005A7C7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5</w:t>
                </w:r>
                <w:r w:rsidRPr="005A7C7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</w:t>
                </w:r>
                <w:r w:rsidR="008B7BC9" w:rsidRPr="005A7C7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 mm</w:t>
                </w:r>
              </w:p>
            </w:tc>
          </w:tr>
          <w:tr w:rsidR="007F6062" w:rsidRPr="00E256BA" w:rsidTr="005A7C7C">
            <w:tc>
              <w:tcPr>
                <w:tcW w:w="4386" w:type="dxa"/>
                <w:vAlign w:val="center"/>
              </w:tcPr>
              <w:p w:rsidR="007F6062" w:rsidRPr="005A7C7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Gewicht: 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5A7C7C" w:rsidRDefault="005A7C7C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100 </w:t>
                </w:r>
                <w:r w:rsidR="008E7785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g</w:t>
                </w:r>
              </w:p>
            </w:tc>
          </w:tr>
          <w:tr w:rsidR="007F6062" w:rsidRPr="00E256BA" w:rsidTr="005A7C7C">
            <w:tc>
              <w:tcPr>
                <w:tcW w:w="4386" w:type="dxa"/>
                <w:vAlign w:val="center"/>
              </w:tcPr>
              <w:p w:rsidR="007F6062" w:rsidRPr="005A7C7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Fabrikat</w:t>
                </w:r>
                <w:proofErr w:type="spellEnd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5A7C7C" w:rsidRDefault="007F6062" w:rsidP="007F6062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ATEIS</w:t>
                </w:r>
              </w:p>
            </w:tc>
          </w:tr>
          <w:tr w:rsidR="007F6062" w:rsidRPr="00E256BA" w:rsidTr="005A7C7C">
            <w:tc>
              <w:tcPr>
                <w:tcW w:w="4386" w:type="dxa"/>
                <w:vAlign w:val="center"/>
              </w:tcPr>
              <w:p w:rsidR="007F6062" w:rsidRPr="005A7C7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Typ: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5A7C7C" w:rsidRDefault="005A7C7C" w:rsidP="007F6062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</w:rPr>
                  <w:t>RAC</w:t>
                </w:r>
                <w:r w:rsidR="00786ECA">
                  <w:rPr>
                    <w:rFonts w:ascii="Arial" w:hAnsi="Arial" w:cs="Arial"/>
                    <w:sz w:val="20"/>
                    <w:szCs w:val="20"/>
                  </w:rPr>
                  <w:t>8</w:t>
                </w:r>
              </w:p>
            </w:tc>
          </w:tr>
          <w:tr w:rsidR="007F6062" w:rsidRPr="00E256BA" w:rsidTr="005A7C7C">
            <w:tc>
              <w:tcPr>
                <w:tcW w:w="4386" w:type="dxa"/>
                <w:vAlign w:val="center"/>
              </w:tcPr>
              <w:p w:rsidR="007F6062" w:rsidRPr="005A7C7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Material: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5A7C7C" w:rsidRDefault="008B7BC9" w:rsidP="007F6062">
                <w:pPr>
                  <w:pStyle w:val="NormalWeb"/>
                  <w:tabs>
                    <w:tab w:val="left" w:pos="192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F6062" w:rsidRPr="00E256BA" w:rsidTr="005A7C7C">
            <w:tc>
              <w:tcPr>
                <w:tcW w:w="4386" w:type="dxa"/>
                <w:vAlign w:val="center"/>
              </w:tcPr>
              <w:p w:rsidR="007F6062" w:rsidRPr="005A7C7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Lohn: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5A7C7C" w:rsidRDefault="008B7BC9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F6062" w:rsidRPr="00E256BA" w:rsidTr="008E7785">
            <w:tc>
              <w:tcPr>
                <w:tcW w:w="4386" w:type="dxa"/>
                <w:tcBorders>
                  <w:bottom w:val="nil"/>
                </w:tcBorders>
                <w:vAlign w:val="center"/>
              </w:tcPr>
              <w:p w:rsidR="007F6062" w:rsidRPr="005A7C7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Menge:</w:t>
                </w:r>
              </w:p>
            </w:tc>
            <w:tc>
              <w:tcPr>
                <w:tcW w:w="4965" w:type="dxa"/>
                <w:tcBorders>
                  <w:bottom w:val="nil"/>
                </w:tcBorders>
                <w:vAlign w:val="center"/>
              </w:tcPr>
              <w:p w:rsidR="007F6062" w:rsidRPr="005A7C7C" w:rsidRDefault="007F6062" w:rsidP="007F6062">
                <w:pPr>
                  <w:pStyle w:val="NormalWeb"/>
                  <w:tabs>
                    <w:tab w:val="left" w:pos="31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Stck</w:t>
                </w:r>
                <w:proofErr w:type="spellEnd"/>
                <w:r w:rsidRPr="005A7C7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.</w:t>
                </w:r>
              </w:p>
            </w:tc>
          </w:tr>
          <w:tr w:rsidR="007F6062" w:rsidRPr="00E256BA" w:rsidTr="008E7785">
            <w:tc>
              <w:tcPr>
                <w:tcW w:w="4386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5A7C7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Gesamt</w:t>
                </w:r>
                <w:proofErr w:type="spellEnd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5A7C7C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</w:tbl>
        <w:p w:rsidR="00807A30" w:rsidRPr="00A25DAA" w:rsidRDefault="00D364D3" w:rsidP="00931A46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p w:rsidR="002307C0" w:rsidRPr="00D56619" w:rsidRDefault="002307C0" w:rsidP="00664714">
      <w:pPr>
        <w:widowControl/>
        <w:jc w:val="right"/>
        <w:rPr>
          <w:rFonts w:ascii="Arial" w:eastAsia="Arial Unicode MS" w:hAnsi="Arial" w:cs="Arial"/>
          <w:b/>
          <w:bCs/>
          <w:color w:val="000000"/>
          <w:kern w:val="0"/>
          <w:szCs w:val="24"/>
        </w:rPr>
      </w:pPr>
    </w:p>
    <w:sectPr w:rsidR="002307C0" w:rsidRPr="00D56619" w:rsidSect="00A7708E">
      <w:headerReference w:type="default" r:id="rId15"/>
      <w:footerReference w:type="default" r:id="rId16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64D3" w:rsidRDefault="00D364D3" w:rsidP="0051148C">
      <w:r>
        <w:separator/>
      </w:r>
    </w:p>
  </w:endnote>
  <w:endnote w:type="continuationSeparator" w:id="0">
    <w:p w:rsidR="00D364D3" w:rsidRDefault="00D364D3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4600" w:rsidRDefault="008A46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7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43"/>
      <w:gridCol w:w="8026"/>
    </w:tblGrid>
    <w:tr w:rsidR="00504AFD" w:rsidRPr="00781CCF" w:rsidTr="00D83915">
      <w:trPr>
        <w:trHeight w:val="897"/>
      </w:trPr>
      <w:tc>
        <w:tcPr>
          <w:tcW w:w="762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504AFD" w:rsidRDefault="00C258A2" w:rsidP="008A4600">
          <w:pPr>
            <w:pStyle w:val="Pieddepage"/>
            <w:tabs>
              <w:tab w:val="clear" w:pos="8306"/>
              <w:tab w:val="right" w:pos="600"/>
            </w:tabs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504AFD">
            <w:instrText xml:space="preserve"> PAGE   \* MERGEFORMAT </w:instrText>
          </w:r>
          <w:r>
            <w:fldChar w:fldCharType="separate"/>
          </w:r>
          <w:r w:rsidR="00E96543" w:rsidRPr="00E96543">
            <w:rPr>
              <w:noProof/>
              <w:color w:val="FFFFFF" w:themeColor="background1"/>
              <w:lang w:val="zh-TW"/>
            </w:rPr>
            <w:t>2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238" w:type="pct"/>
          <w:tcBorders>
            <w:top w:val="single" w:sz="4" w:space="0" w:color="auto"/>
            <w:left w:val="single" w:sz="4" w:space="0" w:color="002060"/>
          </w:tcBorders>
        </w:tcPr>
        <w:p w:rsidR="00504AFD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781CCF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781CCF" w:rsidRPr="00781CCF" w:rsidRDefault="00781CCF" w:rsidP="00781CCF">
          <w:pPr>
            <w:widowControl/>
            <w:spacing w:line="160" w:lineRule="atLeast"/>
            <w:rPr>
              <w:rFonts w:ascii="Verdana" w:hAnsi="Verdana" w:cstheme="minorHAnsi"/>
              <w:b/>
              <w:bCs/>
              <w:sz w:val="16"/>
              <w:szCs w:val="16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A25DAA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A25DAA">
            <w:rPr>
              <w:rFonts w:ascii="Arial" w:hAnsi="Arial" w:cs="Arial"/>
              <w:sz w:val="15"/>
              <w:szCs w:val="15"/>
            </w:rPr>
            <w:t xml:space="preserve"> l info@ateis-europe.com</w:t>
          </w:r>
        </w:p>
      </w:tc>
    </w:tr>
  </w:tbl>
  <w:p w:rsidR="00504AFD" w:rsidRPr="00781CCF" w:rsidRDefault="00504AFD" w:rsidP="0036623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4600" w:rsidRDefault="008A4600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1"/>
      <w:gridCol w:w="7475"/>
    </w:tblGrid>
    <w:tr w:rsidR="00181C3C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181C3C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181C3C" w:rsidRPr="00C74935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222790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222790">
            <w:rPr>
              <w:rFonts w:ascii="Arial" w:hAnsi="Arial" w:cs="Arial"/>
              <w:sz w:val="15"/>
              <w:szCs w:val="15"/>
            </w:rPr>
            <w:t xml:space="preserve"> l </w:t>
          </w:r>
          <w:hyperlink r:id="rId2" w:history="1">
            <w:r w:rsidRPr="00222790">
              <w:rPr>
                <w:rFonts w:ascii="Arial" w:hAnsi="Arial" w:cs="Arial"/>
                <w:sz w:val="15"/>
                <w:szCs w:val="15"/>
              </w:rPr>
              <w:t>info@ateis-europe.com</w:t>
            </w:r>
          </w:hyperlink>
        </w:p>
      </w:tc>
    </w:tr>
  </w:tbl>
  <w:p w:rsidR="00181C3C" w:rsidRDefault="00181C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64D3" w:rsidRDefault="00D364D3" w:rsidP="0051148C">
      <w:r>
        <w:separator/>
      </w:r>
    </w:p>
  </w:footnote>
  <w:footnote w:type="continuationSeparator" w:id="0">
    <w:p w:rsidR="00D364D3" w:rsidRDefault="00D364D3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4600" w:rsidRDefault="008A46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504AFD" w:rsidTr="00C74935">
      <w:trPr>
        <w:trHeight w:val="300"/>
      </w:trPr>
      <w:tc>
        <w:tcPr>
          <w:tcW w:w="603" w:type="pct"/>
        </w:tcPr>
        <w:p w:rsidR="00504AFD" w:rsidRDefault="00504AFD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4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6672900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504AFD" w:rsidRPr="00994D9F" w:rsidRDefault="005A7C7C" w:rsidP="000E6D9A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RAC</w:t>
              </w:r>
              <w:r w:rsidR="00786ECA"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8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   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</w:t>
              </w:r>
              <w:r w:rsidR="00D96B92">
                <w:rPr>
                  <w:rFonts w:asciiTheme="majorHAnsi" w:hAnsiTheme="majorHAnsi" w:cstheme="majorBidi"/>
                  <w:color w:val="000000" w:themeColor="text1"/>
                  <w:sz w:val="28"/>
                  <w:szCs w:val="28"/>
                </w:rPr>
                <w:t xml:space="preserve">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A&amp;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I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proofErr w:type="spellStart"/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Spe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zifikation</w:t>
              </w:r>
              <w:proofErr w:type="spellEnd"/>
            </w:p>
          </w:tc>
        </w:sdtContent>
      </w:sdt>
    </w:tr>
  </w:tbl>
  <w:p w:rsidR="00504AFD" w:rsidRDefault="00504AFD" w:rsidP="000E6D9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4600" w:rsidRDefault="008A4600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4C2A08" w:rsidTr="009066EB">
      <w:trPr>
        <w:trHeight w:val="300"/>
      </w:trPr>
      <w:tc>
        <w:tcPr>
          <w:tcW w:w="603" w:type="pct"/>
        </w:tcPr>
        <w:p w:rsidR="004C2A08" w:rsidRDefault="004C2A08" w:rsidP="004C2A08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19659FD4" wp14:editId="6AB14142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9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51433630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4C2A08" w:rsidRPr="00994D9F" w:rsidRDefault="00786ECA" w:rsidP="004C2A08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 xml:space="preserve">RAC8            A&amp;I </w:t>
              </w:r>
              <w:proofErr w:type="spellStart"/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Spezifikation</w:t>
              </w:r>
              <w:proofErr w:type="spellEnd"/>
            </w:p>
          </w:tc>
        </w:sdtContent>
      </w:sdt>
    </w:tr>
  </w:tbl>
  <w:p w:rsidR="00181C3C" w:rsidRPr="004C2A08" w:rsidRDefault="00181C3C" w:rsidP="004C2A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>
    <w:abstractNumId w:val="40"/>
  </w:num>
  <w:num w:numId="2">
    <w:abstractNumId w:val="43"/>
  </w:num>
  <w:num w:numId="3">
    <w:abstractNumId w:val="29"/>
  </w:num>
  <w:num w:numId="4">
    <w:abstractNumId w:val="15"/>
  </w:num>
  <w:num w:numId="5">
    <w:abstractNumId w:val="32"/>
  </w:num>
  <w:num w:numId="6">
    <w:abstractNumId w:val="0"/>
  </w:num>
  <w:num w:numId="7">
    <w:abstractNumId w:val="25"/>
  </w:num>
  <w:num w:numId="8">
    <w:abstractNumId w:val="20"/>
  </w:num>
  <w:num w:numId="9">
    <w:abstractNumId w:val="34"/>
  </w:num>
  <w:num w:numId="10">
    <w:abstractNumId w:val="21"/>
  </w:num>
  <w:num w:numId="11">
    <w:abstractNumId w:val="27"/>
  </w:num>
  <w:num w:numId="12">
    <w:abstractNumId w:val="2"/>
  </w:num>
  <w:num w:numId="13">
    <w:abstractNumId w:val="47"/>
  </w:num>
  <w:num w:numId="14">
    <w:abstractNumId w:val="26"/>
  </w:num>
  <w:num w:numId="15">
    <w:abstractNumId w:val="12"/>
  </w:num>
  <w:num w:numId="16">
    <w:abstractNumId w:val="46"/>
  </w:num>
  <w:num w:numId="17">
    <w:abstractNumId w:val="28"/>
  </w:num>
  <w:num w:numId="18">
    <w:abstractNumId w:val="16"/>
  </w:num>
  <w:num w:numId="19">
    <w:abstractNumId w:val="22"/>
  </w:num>
  <w:num w:numId="20">
    <w:abstractNumId w:val="45"/>
  </w:num>
  <w:num w:numId="21">
    <w:abstractNumId w:val="1"/>
  </w:num>
  <w:num w:numId="22">
    <w:abstractNumId w:val="35"/>
  </w:num>
  <w:num w:numId="23">
    <w:abstractNumId w:val="11"/>
  </w:num>
  <w:num w:numId="24">
    <w:abstractNumId w:val="30"/>
  </w:num>
  <w:num w:numId="25">
    <w:abstractNumId w:val="18"/>
  </w:num>
  <w:num w:numId="26">
    <w:abstractNumId w:val="33"/>
  </w:num>
  <w:num w:numId="27">
    <w:abstractNumId w:val="37"/>
  </w:num>
  <w:num w:numId="28">
    <w:abstractNumId w:val="14"/>
  </w:num>
  <w:num w:numId="29">
    <w:abstractNumId w:val="5"/>
  </w:num>
  <w:num w:numId="30">
    <w:abstractNumId w:val="39"/>
  </w:num>
  <w:num w:numId="31">
    <w:abstractNumId w:val="42"/>
  </w:num>
  <w:num w:numId="32">
    <w:abstractNumId w:val="19"/>
  </w:num>
  <w:num w:numId="33">
    <w:abstractNumId w:val="6"/>
  </w:num>
  <w:num w:numId="34">
    <w:abstractNumId w:val="41"/>
  </w:num>
  <w:num w:numId="35">
    <w:abstractNumId w:val="13"/>
  </w:num>
  <w:num w:numId="36">
    <w:abstractNumId w:val="23"/>
  </w:num>
  <w:num w:numId="37">
    <w:abstractNumId w:val="24"/>
  </w:num>
  <w:num w:numId="38">
    <w:abstractNumId w:val="38"/>
  </w:num>
  <w:num w:numId="39">
    <w:abstractNumId w:val="36"/>
  </w:num>
  <w:num w:numId="40">
    <w:abstractNumId w:val="4"/>
  </w:num>
  <w:num w:numId="41">
    <w:abstractNumId w:val="10"/>
  </w:num>
  <w:num w:numId="42">
    <w:abstractNumId w:val="3"/>
  </w:num>
  <w:num w:numId="43">
    <w:abstractNumId w:val="7"/>
  </w:num>
  <w:num w:numId="44">
    <w:abstractNumId w:val="44"/>
  </w:num>
  <w:num w:numId="45">
    <w:abstractNumId w:val="17"/>
  </w:num>
  <w:num w:numId="46">
    <w:abstractNumId w:val="31"/>
  </w:num>
  <w:num w:numId="47">
    <w:abstractNumId w:val="9"/>
  </w:num>
  <w:num w:numId="48">
    <w:abstractNumId w:val="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60EEE"/>
    <w:rsid w:val="0007297D"/>
    <w:rsid w:val="00072E34"/>
    <w:rsid w:val="00074CF1"/>
    <w:rsid w:val="000864D5"/>
    <w:rsid w:val="00092D0E"/>
    <w:rsid w:val="00097262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14AD"/>
    <w:rsid w:val="00104B7F"/>
    <w:rsid w:val="00110075"/>
    <w:rsid w:val="00115B91"/>
    <w:rsid w:val="00115D82"/>
    <w:rsid w:val="00116AEF"/>
    <w:rsid w:val="001171F1"/>
    <w:rsid w:val="00127E61"/>
    <w:rsid w:val="00131D04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B16C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5099C"/>
    <w:rsid w:val="00251FD3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418A"/>
    <w:rsid w:val="002F422D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B433B"/>
    <w:rsid w:val="003B5336"/>
    <w:rsid w:val="003B7F6D"/>
    <w:rsid w:val="003C0A1C"/>
    <w:rsid w:val="003C4561"/>
    <w:rsid w:val="003D1DCA"/>
    <w:rsid w:val="003E2B66"/>
    <w:rsid w:val="003E51EE"/>
    <w:rsid w:val="003F2E65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231"/>
    <w:rsid w:val="004C2A08"/>
    <w:rsid w:val="004C67DA"/>
    <w:rsid w:val="004D4B9F"/>
    <w:rsid w:val="004D69F0"/>
    <w:rsid w:val="004E11A9"/>
    <w:rsid w:val="004E199C"/>
    <w:rsid w:val="004F257E"/>
    <w:rsid w:val="004F2E87"/>
    <w:rsid w:val="00503CC4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A2B43"/>
    <w:rsid w:val="005A7C7C"/>
    <w:rsid w:val="005A7E30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4813"/>
    <w:rsid w:val="006E55C0"/>
    <w:rsid w:val="006F2374"/>
    <w:rsid w:val="006F3358"/>
    <w:rsid w:val="006F3CBE"/>
    <w:rsid w:val="007207C3"/>
    <w:rsid w:val="00720FE3"/>
    <w:rsid w:val="00736445"/>
    <w:rsid w:val="00741AEC"/>
    <w:rsid w:val="007438CC"/>
    <w:rsid w:val="00760731"/>
    <w:rsid w:val="00762459"/>
    <w:rsid w:val="00763FA7"/>
    <w:rsid w:val="00766EAA"/>
    <w:rsid w:val="007701AA"/>
    <w:rsid w:val="00774FE5"/>
    <w:rsid w:val="007775EA"/>
    <w:rsid w:val="00781CCF"/>
    <w:rsid w:val="00783146"/>
    <w:rsid w:val="00786ECA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647F"/>
    <w:rsid w:val="00862D12"/>
    <w:rsid w:val="0086791B"/>
    <w:rsid w:val="008717C8"/>
    <w:rsid w:val="00875304"/>
    <w:rsid w:val="00883D21"/>
    <w:rsid w:val="00892705"/>
    <w:rsid w:val="008930F2"/>
    <w:rsid w:val="008A4600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E7785"/>
    <w:rsid w:val="008F5F57"/>
    <w:rsid w:val="0091714A"/>
    <w:rsid w:val="00926770"/>
    <w:rsid w:val="0093076B"/>
    <w:rsid w:val="00931A46"/>
    <w:rsid w:val="00944A7C"/>
    <w:rsid w:val="009519A9"/>
    <w:rsid w:val="00952485"/>
    <w:rsid w:val="00955ECC"/>
    <w:rsid w:val="00957411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3043"/>
    <w:rsid w:val="00AA554E"/>
    <w:rsid w:val="00AB0769"/>
    <w:rsid w:val="00AB4208"/>
    <w:rsid w:val="00AB5834"/>
    <w:rsid w:val="00AB6785"/>
    <w:rsid w:val="00AB76AA"/>
    <w:rsid w:val="00AC2D3D"/>
    <w:rsid w:val="00AC3D3D"/>
    <w:rsid w:val="00AC6054"/>
    <w:rsid w:val="00AE08F9"/>
    <w:rsid w:val="00AE16B2"/>
    <w:rsid w:val="00AE2B8F"/>
    <w:rsid w:val="00AE4D68"/>
    <w:rsid w:val="00AE6DAD"/>
    <w:rsid w:val="00AF1D8A"/>
    <w:rsid w:val="00AF4260"/>
    <w:rsid w:val="00AF6CFE"/>
    <w:rsid w:val="00B02EF3"/>
    <w:rsid w:val="00B076EA"/>
    <w:rsid w:val="00B27A64"/>
    <w:rsid w:val="00B360F7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95F26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27C7"/>
    <w:rsid w:val="00C150C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7068"/>
    <w:rsid w:val="00C66448"/>
    <w:rsid w:val="00C738A6"/>
    <w:rsid w:val="00C74935"/>
    <w:rsid w:val="00C75B21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D5358"/>
    <w:rsid w:val="00CE555A"/>
    <w:rsid w:val="00CE7105"/>
    <w:rsid w:val="00CF32D6"/>
    <w:rsid w:val="00D018E1"/>
    <w:rsid w:val="00D03E65"/>
    <w:rsid w:val="00D07869"/>
    <w:rsid w:val="00D12A57"/>
    <w:rsid w:val="00D1360B"/>
    <w:rsid w:val="00D1460C"/>
    <w:rsid w:val="00D244AC"/>
    <w:rsid w:val="00D364D3"/>
    <w:rsid w:val="00D376FD"/>
    <w:rsid w:val="00D405E5"/>
    <w:rsid w:val="00D55125"/>
    <w:rsid w:val="00D559E8"/>
    <w:rsid w:val="00D56619"/>
    <w:rsid w:val="00D61919"/>
    <w:rsid w:val="00D76AF8"/>
    <w:rsid w:val="00D83910"/>
    <w:rsid w:val="00D83915"/>
    <w:rsid w:val="00D85AC6"/>
    <w:rsid w:val="00D910CD"/>
    <w:rsid w:val="00D91F46"/>
    <w:rsid w:val="00D96B92"/>
    <w:rsid w:val="00DA3869"/>
    <w:rsid w:val="00DA41D8"/>
    <w:rsid w:val="00DB566B"/>
    <w:rsid w:val="00DC3F86"/>
    <w:rsid w:val="00DC72F8"/>
    <w:rsid w:val="00DD5D92"/>
    <w:rsid w:val="00DE34D5"/>
    <w:rsid w:val="00DE74CF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48A9"/>
    <w:rsid w:val="00EB5DF9"/>
    <w:rsid w:val="00EB6C59"/>
    <w:rsid w:val="00EB79B1"/>
    <w:rsid w:val="00EC7B50"/>
    <w:rsid w:val="00ED1F93"/>
    <w:rsid w:val="00ED4981"/>
    <w:rsid w:val="00EF11B4"/>
    <w:rsid w:val="00F118DE"/>
    <w:rsid w:val="00F14032"/>
    <w:rsid w:val="00F1560E"/>
    <w:rsid w:val="00F210D4"/>
    <w:rsid w:val="00F36B94"/>
    <w:rsid w:val="00F374DB"/>
    <w:rsid w:val="00F4432B"/>
    <w:rsid w:val="00F45FBE"/>
    <w:rsid w:val="00F75967"/>
    <w:rsid w:val="00F9503E"/>
    <w:rsid w:val="00F95CBE"/>
    <w:rsid w:val="00FB02C6"/>
    <w:rsid w:val="00FB4E47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C1020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Titre1">
    <w:name w:val="heading 1"/>
    <w:basedOn w:val="Normal"/>
    <w:next w:val="Normal"/>
    <w:link w:val="Titre1C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itre2">
    <w:name w:val="heading 2"/>
    <w:basedOn w:val="Normal"/>
    <w:link w:val="Titre2C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14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148C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1148C"/>
    <w:pPr>
      <w:snapToGrid w:val="0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51148C"/>
  </w:style>
  <w:style w:type="character" w:styleId="Appeldenotedefin">
    <w:name w:val="endnote reference"/>
    <w:basedOn w:val="Policepardfaut"/>
    <w:uiPriority w:val="99"/>
    <w:semiHidden/>
    <w:unhideWhenUsed/>
    <w:rsid w:val="0051148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1148C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M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Titre3Car">
    <w:name w:val="Titre 3 Car"/>
    <w:basedOn w:val="Policepardfaut"/>
    <w:link w:val="Titre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6D7E7A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xtedelespacerserv">
    <w:name w:val="Placeholder Text"/>
    <w:basedOn w:val="Policepardfau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Grilledutableau">
    <w:name w:val="Table Grid"/>
    <w:basedOn w:val="TableauNormal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eis-europe.com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eis-europe.com" TargetMode="External"/><Relationship Id="rId1" Type="http://schemas.openxmlformats.org/officeDocument/2006/relationships/hyperlink" Target="http://www.ateis-europ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169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IDA8C             A&amp;I Spezifikation</vt:lpstr>
      <vt:lpstr>BOUTIQUE           A&amp;E Specification</vt:lpstr>
    </vt:vector>
  </TitlesOfParts>
  <Company>Toshiba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RAC8            A&amp;I Spezifikation</dc:title>
  <dc:creator>行銷助專_許筠亞</dc:creator>
  <cp:lastModifiedBy>CLELIA VIRETTE</cp:lastModifiedBy>
  <cp:revision>7</cp:revision>
  <cp:lastPrinted>2016-02-24T06:19:00Z</cp:lastPrinted>
  <dcterms:created xsi:type="dcterms:W3CDTF">2020-03-20T09:31:00Z</dcterms:created>
  <dcterms:modified xsi:type="dcterms:W3CDTF">2020-03-24T10:31:00Z</dcterms:modified>
</cp:coreProperties>
</file>